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98" w:rsidRPr="00E825C7" w:rsidRDefault="00E71A98" w:rsidP="00E71A98">
      <w:pPr>
        <w:jc w:val="both"/>
        <w:rPr>
          <w:rFonts w:ascii="Verdana" w:eastAsia="Arial Unicode MS" w:hAnsi="Verdana" w:cs="Arial"/>
          <w:b/>
          <w:u w:val="single"/>
        </w:rPr>
      </w:pPr>
      <w:bookmarkStart w:id="0" w:name="_GoBack"/>
      <w:bookmarkEnd w:id="0"/>
    </w:p>
    <w:tbl>
      <w:tblPr>
        <w:tblStyle w:val="Tablaconcuadrcula"/>
        <w:tblW w:w="9493" w:type="dxa"/>
        <w:tblInd w:w="0" w:type="dxa"/>
        <w:tblLook w:val="04A0" w:firstRow="1" w:lastRow="0" w:firstColumn="1" w:lastColumn="0" w:noHBand="0" w:noVBand="1"/>
      </w:tblPr>
      <w:tblGrid>
        <w:gridCol w:w="9493"/>
      </w:tblGrid>
      <w:tr w:rsidR="00E71A98" w:rsidRPr="00E825C7" w:rsidTr="00DD425D">
        <w:trPr>
          <w:trHeight w:val="643"/>
        </w:trPr>
        <w:tc>
          <w:tcPr>
            <w:tcW w:w="9493" w:type="dxa"/>
            <w:shd w:val="clear" w:color="auto" w:fill="C9C9C9" w:themeFill="accent3" w:themeFillTint="99"/>
          </w:tcPr>
          <w:p w:rsidR="00E71A98" w:rsidRPr="00E825C7" w:rsidRDefault="00E71A98" w:rsidP="008167B4">
            <w:pPr>
              <w:tabs>
                <w:tab w:val="left" w:pos="3464"/>
              </w:tabs>
              <w:jc w:val="both"/>
              <w:rPr>
                <w:rFonts w:ascii="Verdana" w:eastAsia="Arial Unicode MS" w:hAnsi="Verdana" w:cs="Arial"/>
                <w:b/>
              </w:rPr>
            </w:pPr>
            <w:r w:rsidRPr="00E825C7">
              <w:rPr>
                <w:rFonts w:ascii="Verdana" w:eastAsia="Arial Unicode MS" w:hAnsi="Verdana" w:cs="Arial"/>
                <w:b/>
              </w:rPr>
              <w:tab/>
            </w:r>
          </w:p>
          <w:p w:rsidR="00E71A98" w:rsidRPr="00E825C7" w:rsidRDefault="00E71A98" w:rsidP="00773641">
            <w:pPr>
              <w:jc w:val="center"/>
              <w:rPr>
                <w:rFonts w:ascii="Verdana" w:eastAsia="Arial Unicode MS" w:hAnsi="Verdana" w:cs="Arial"/>
                <w:b/>
              </w:rPr>
            </w:pPr>
            <w:r>
              <w:rPr>
                <w:rFonts w:ascii="Verdana" w:eastAsia="Arial Unicode MS" w:hAnsi="Verdana" w:cs="Arial"/>
                <w:b/>
              </w:rPr>
              <w:t>PROTOCOLO ATENCIÓN DE USUARIOS</w:t>
            </w:r>
            <w:r w:rsidRPr="00E825C7">
              <w:rPr>
                <w:rFonts w:ascii="Verdana" w:eastAsia="Arial Unicode MS" w:hAnsi="Verdana" w:cs="Arial"/>
                <w:b/>
              </w:rPr>
              <w:t xml:space="preserve"> DEL </w:t>
            </w:r>
            <w:r w:rsidR="00773641">
              <w:rPr>
                <w:rFonts w:ascii="Verdana" w:eastAsia="Arial Unicode MS" w:hAnsi="Verdana" w:cs="Arial"/>
                <w:b/>
              </w:rPr>
              <w:t>CENTRO DE CONCILIACION</w:t>
            </w:r>
          </w:p>
        </w:tc>
      </w:tr>
    </w:tbl>
    <w:p w:rsidR="00E71A98" w:rsidRDefault="00E71A98" w:rsidP="00E71A98">
      <w:pPr>
        <w:jc w:val="both"/>
        <w:rPr>
          <w:rFonts w:ascii="Verdana" w:eastAsia="Arial Unicode MS" w:hAnsi="Verdana" w:cs="Arial"/>
          <w:b/>
          <w:u w:val="single"/>
        </w:rPr>
      </w:pPr>
    </w:p>
    <w:p w:rsidR="00E71A98" w:rsidRPr="00E825C7" w:rsidRDefault="00E71A98" w:rsidP="00E71A98">
      <w:pPr>
        <w:jc w:val="both"/>
        <w:rPr>
          <w:rFonts w:ascii="Verdana" w:eastAsia="Arial Unicode MS" w:hAnsi="Verdana" w:cs="Arial"/>
          <w:b/>
          <w:u w:val="single"/>
        </w:rPr>
      </w:pPr>
    </w:p>
    <w:p w:rsidR="00E71A98" w:rsidRDefault="00E71A98" w:rsidP="00E71A98">
      <w:pPr>
        <w:jc w:val="both"/>
        <w:rPr>
          <w:rFonts w:ascii="Verdana" w:hAnsi="Verdana" w:cs="Arial"/>
        </w:rPr>
      </w:pPr>
      <w:r w:rsidRPr="00E825C7">
        <w:rPr>
          <w:rFonts w:ascii="Verdana" w:hAnsi="Verdana" w:cs="Arial"/>
        </w:rPr>
        <w:t>El  consultorio jurídico de la</w:t>
      </w:r>
      <w:r>
        <w:rPr>
          <w:rFonts w:ascii="Verdana" w:hAnsi="Verdana" w:cs="Arial"/>
        </w:rPr>
        <w:t xml:space="preserve"> Corporación Universitaria Antonio José de Sucre- CORPOSUCRE, está integrado por la  dirección, la </w:t>
      </w:r>
      <w:r w:rsidRPr="00E825C7">
        <w:rPr>
          <w:rFonts w:ascii="Verdana" w:hAnsi="Verdana" w:cs="Arial"/>
        </w:rPr>
        <w:t>secretaria del centro,</w:t>
      </w:r>
      <w:r>
        <w:rPr>
          <w:rFonts w:ascii="Verdana" w:hAnsi="Verdana" w:cs="Arial"/>
        </w:rPr>
        <w:t xml:space="preserve"> los  monitores</w:t>
      </w:r>
      <w:r>
        <w:rPr>
          <w:rFonts w:ascii="Verdana" w:hAnsi="Verdana"/>
          <w:b/>
        </w:rPr>
        <w:t xml:space="preserve">, </w:t>
      </w:r>
      <w:r>
        <w:rPr>
          <w:rFonts w:ascii="Verdana" w:hAnsi="Verdana" w:cs="Arial"/>
        </w:rPr>
        <w:t>estudiantes asesores de 7° 8° 9° y 10°</w:t>
      </w:r>
      <w:r w:rsidRPr="00E825C7">
        <w:rPr>
          <w:rFonts w:ascii="Verdana" w:hAnsi="Verdana" w:cs="Arial"/>
        </w:rPr>
        <w:t xml:space="preserve"> semestre de</w:t>
      </w:r>
      <w:r>
        <w:rPr>
          <w:rFonts w:ascii="Verdana" w:hAnsi="Verdana" w:cs="Arial"/>
        </w:rPr>
        <w:t>l programa de</w:t>
      </w:r>
      <w:r w:rsidRPr="00E825C7">
        <w:rPr>
          <w:rFonts w:ascii="Verdana" w:hAnsi="Verdana" w:cs="Arial"/>
        </w:rPr>
        <w:t xml:space="preserve"> derecho quienes prestan su servicio como labor social a los usuarios que solicitan</w:t>
      </w:r>
      <w:r w:rsidR="00773641">
        <w:rPr>
          <w:rFonts w:ascii="Verdana" w:hAnsi="Verdana" w:cs="Arial"/>
        </w:rPr>
        <w:t xml:space="preserve"> una audiencia de conciliación dentro de las facultades conferidas por la Ley 640 de 2001.</w:t>
      </w:r>
      <w:r w:rsidRPr="00E825C7">
        <w:rPr>
          <w:rFonts w:ascii="Verdana" w:hAnsi="Verdana" w:cs="Arial"/>
        </w:rPr>
        <w:br/>
      </w:r>
    </w:p>
    <w:p w:rsidR="000327A5" w:rsidRPr="009149F3" w:rsidRDefault="009149F3" w:rsidP="00E71A98">
      <w:pPr>
        <w:jc w:val="both"/>
        <w:rPr>
          <w:rFonts w:ascii="Verdana" w:hAnsi="Verdana" w:cs="Arial"/>
          <w:b/>
          <w:u w:val="single"/>
        </w:rPr>
      </w:pPr>
      <w:r>
        <w:rPr>
          <w:rFonts w:ascii="Verdana" w:hAnsi="Verdana" w:cs="Arial"/>
          <w:b/>
          <w:u w:val="single"/>
        </w:rPr>
        <w:t xml:space="preserve">USUARIOS QUE PUEDEN ACCEDER A LOS </w:t>
      </w:r>
      <w:r w:rsidR="00A715A0">
        <w:rPr>
          <w:rFonts w:ascii="Verdana" w:hAnsi="Verdana" w:cs="Arial"/>
          <w:b/>
          <w:u w:val="single"/>
        </w:rPr>
        <w:t>SERVICIO DE CENTRO DE CONCILIACION</w:t>
      </w:r>
      <w:r>
        <w:rPr>
          <w:rFonts w:ascii="Verdana" w:hAnsi="Verdana" w:cs="Arial"/>
          <w:b/>
          <w:u w:val="single"/>
        </w:rPr>
        <w:t>:</w:t>
      </w:r>
    </w:p>
    <w:p w:rsidR="000327A5" w:rsidRPr="000327A5" w:rsidRDefault="000327A5" w:rsidP="00E71A98">
      <w:pPr>
        <w:jc w:val="both"/>
        <w:rPr>
          <w:rFonts w:ascii="Verdana" w:hAnsi="Verdana" w:cs="Arial"/>
        </w:rPr>
      </w:pPr>
    </w:p>
    <w:p w:rsidR="00E13692" w:rsidRDefault="000327A5" w:rsidP="000327A5">
      <w:pPr>
        <w:jc w:val="both"/>
        <w:rPr>
          <w:rFonts w:ascii="Verdana" w:hAnsi="Verdana"/>
        </w:rPr>
      </w:pPr>
      <w:r w:rsidRPr="000327A5">
        <w:rPr>
          <w:rFonts w:ascii="Verdana" w:hAnsi="Verdana"/>
        </w:rPr>
        <w:t>De acuerdo a l</w:t>
      </w:r>
      <w:r w:rsidR="004B3041">
        <w:rPr>
          <w:rFonts w:ascii="Verdana" w:hAnsi="Verdana"/>
        </w:rPr>
        <w:t>a</w:t>
      </w:r>
      <w:r w:rsidRPr="000327A5">
        <w:rPr>
          <w:rFonts w:ascii="Verdana" w:hAnsi="Verdana"/>
        </w:rPr>
        <w:t xml:space="preserve">s </w:t>
      </w:r>
      <w:r w:rsidR="004B3041">
        <w:rPr>
          <w:rFonts w:ascii="Verdana" w:hAnsi="Verdana"/>
        </w:rPr>
        <w:t>facultades conferidas por la Ley 640 de 2001</w:t>
      </w:r>
      <w:r w:rsidR="00E13692">
        <w:rPr>
          <w:rFonts w:ascii="Verdana" w:hAnsi="Verdana"/>
        </w:rPr>
        <w:t>(artículo 11)</w:t>
      </w:r>
      <w:r w:rsidR="004B3041">
        <w:rPr>
          <w:rFonts w:ascii="Verdana" w:hAnsi="Verdana"/>
        </w:rPr>
        <w:t xml:space="preserve"> y demás normas concordantes </w:t>
      </w:r>
      <w:r w:rsidRPr="000327A5">
        <w:rPr>
          <w:rFonts w:ascii="Verdana" w:hAnsi="Verdana"/>
        </w:rPr>
        <w:t>“Los estudiantes adscritos a los C</w:t>
      </w:r>
      <w:r w:rsidR="00E13692">
        <w:rPr>
          <w:rFonts w:ascii="Verdana" w:hAnsi="Verdana"/>
        </w:rPr>
        <w:t xml:space="preserve">entro de Conciliación </w:t>
      </w:r>
      <w:r w:rsidRPr="000327A5">
        <w:rPr>
          <w:rFonts w:ascii="Verdana" w:hAnsi="Verdana"/>
        </w:rPr>
        <w:t xml:space="preserve">de las facultades de derecho, </w:t>
      </w:r>
      <w:r w:rsidR="00E13692">
        <w:rPr>
          <w:rFonts w:ascii="Verdana" w:hAnsi="Verdana"/>
        </w:rPr>
        <w:t xml:space="preserve">podrán actuar como conciliadores solo en los asuntos que sean competencia de los consultorio jurídicos”. </w:t>
      </w:r>
    </w:p>
    <w:p w:rsidR="000327A5" w:rsidRDefault="009149F3" w:rsidP="000327A5">
      <w:pPr>
        <w:jc w:val="both"/>
        <w:rPr>
          <w:rFonts w:ascii="Verdana" w:hAnsi="Verdana"/>
        </w:rPr>
      </w:pPr>
      <w:r>
        <w:rPr>
          <w:rFonts w:ascii="Verdana" w:hAnsi="Verdana"/>
        </w:rPr>
        <w:t> </w:t>
      </w:r>
      <w:r w:rsidR="000327A5" w:rsidRPr="000327A5">
        <w:rPr>
          <w:rFonts w:ascii="Verdana" w:hAnsi="Verdana"/>
        </w:rPr>
        <w:br/>
        <w:t>En ese sentido, el perfil de atención está orientado a personas de escasos recursos económicos que no puedan acceder a los servicios de un abogado particular.</w:t>
      </w:r>
    </w:p>
    <w:p w:rsidR="009149F3" w:rsidRDefault="009149F3" w:rsidP="000327A5">
      <w:pPr>
        <w:jc w:val="both"/>
        <w:rPr>
          <w:rFonts w:ascii="Verdana" w:hAnsi="Verdana"/>
        </w:rPr>
      </w:pPr>
    </w:p>
    <w:p w:rsidR="009149F3" w:rsidRPr="009149F3" w:rsidRDefault="009149F3" w:rsidP="000327A5">
      <w:pPr>
        <w:jc w:val="both"/>
        <w:rPr>
          <w:rFonts w:ascii="Verdana" w:hAnsi="Verdana"/>
          <w:b/>
          <w:u w:val="single"/>
        </w:rPr>
      </w:pPr>
      <w:r w:rsidRPr="009149F3">
        <w:rPr>
          <w:rFonts w:ascii="Verdana" w:hAnsi="Verdana"/>
          <w:b/>
          <w:u w:val="single"/>
        </w:rPr>
        <w:t>DOCUMENTOS QUE DEBE ANEXAR LOS USUARIOS</w:t>
      </w:r>
      <w:r>
        <w:rPr>
          <w:rFonts w:ascii="Verdana" w:hAnsi="Verdana"/>
          <w:b/>
          <w:u w:val="single"/>
        </w:rPr>
        <w:t>:</w:t>
      </w:r>
    </w:p>
    <w:p w:rsidR="009149F3" w:rsidRDefault="000327A5" w:rsidP="000327A5">
      <w:pPr>
        <w:jc w:val="both"/>
        <w:rPr>
          <w:rFonts w:ascii="Verdana" w:hAnsi="Verdana"/>
        </w:rPr>
      </w:pPr>
      <w:r w:rsidRPr="000327A5">
        <w:rPr>
          <w:rFonts w:ascii="Verdana" w:hAnsi="Verdana"/>
        </w:rPr>
        <w:br/>
        <w:t>En vista de lo anterior, es obligatorio que al momento de solicitar el servicio, Usted como futuro usuario (si cumple con el perfil exigido por Ley) aporte la siguiente documentación en fotocopia:</w:t>
      </w:r>
    </w:p>
    <w:p w:rsidR="000327A5" w:rsidRPr="000327A5" w:rsidRDefault="000327A5" w:rsidP="000327A5">
      <w:pPr>
        <w:jc w:val="both"/>
        <w:rPr>
          <w:rFonts w:ascii="Verdana" w:hAnsi="Verdana"/>
        </w:rPr>
      </w:pPr>
      <w:r w:rsidRPr="000327A5">
        <w:rPr>
          <w:rFonts w:ascii="Verdana" w:hAnsi="Verdana"/>
        </w:rPr>
        <w:br/>
        <w:t>1. Copia de su Cédula de Ciudadanía Ampliada al 150%</w:t>
      </w:r>
    </w:p>
    <w:p w:rsidR="000327A5" w:rsidRPr="000327A5" w:rsidRDefault="000327A5" w:rsidP="000327A5">
      <w:pPr>
        <w:jc w:val="both"/>
        <w:rPr>
          <w:rFonts w:ascii="Verdana" w:hAnsi="Verdana"/>
        </w:rPr>
      </w:pPr>
      <w:r w:rsidRPr="000327A5">
        <w:rPr>
          <w:rFonts w:ascii="Verdana" w:hAnsi="Verdana"/>
        </w:rPr>
        <w:br/>
        <w:t>2. Recibo de un Servicio Público Domiciliario donde reside con la especificación del estrato socioeconómico al cual pertenece o carnet del SISBEN.</w:t>
      </w:r>
    </w:p>
    <w:p w:rsidR="00A024C4" w:rsidRDefault="000327A5" w:rsidP="009149F3">
      <w:pPr>
        <w:jc w:val="both"/>
        <w:rPr>
          <w:rFonts w:ascii="Verdana" w:hAnsi="Verdana"/>
        </w:rPr>
      </w:pPr>
      <w:r w:rsidRPr="000327A5">
        <w:rPr>
          <w:rFonts w:ascii="Verdana" w:hAnsi="Verdana"/>
        </w:rPr>
        <w:br/>
      </w:r>
      <w:r w:rsidRPr="000327A5">
        <w:rPr>
          <w:rFonts w:ascii="Verdana" w:hAnsi="Verdana"/>
          <w:b/>
        </w:rPr>
        <w:t>IMPORTANTE</w:t>
      </w:r>
      <w:r w:rsidRPr="000327A5">
        <w:rPr>
          <w:rFonts w:ascii="Verdana" w:hAnsi="Verdana"/>
        </w:rPr>
        <w:t xml:space="preserve">: El Consultorio Jurídico </w:t>
      </w:r>
      <w:r w:rsidR="008714CE">
        <w:rPr>
          <w:rFonts w:ascii="Verdana" w:hAnsi="Verdana"/>
        </w:rPr>
        <w:t xml:space="preserve">y Centro de Conciliación  </w:t>
      </w:r>
      <w:r w:rsidRPr="000327A5">
        <w:rPr>
          <w:rFonts w:ascii="Verdana" w:hAnsi="Verdana"/>
        </w:rPr>
        <w:t>de CORPOSUCRE, aclara que aquellas personas que posean capacidad económica NO podrán acceder al servicio prestado por el</w:t>
      </w:r>
      <w:r w:rsidR="008714CE">
        <w:rPr>
          <w:rFonts w:ascii="Verdana" w:hAnsi="Verdana"/>
        </w:rPr>
        <w:t xml:space="preserve"> centro</w:t>
      </w:r>
      <w:r w:rsidRPr="000327A5">
        <w:rPr>
          <w:rFonts w:ascii="Verdana" w:hAnsi="Verdana"/>
        </w:rPr>
        <w:t xml:space="preserve">.  En el caso en que el usuario suministre información falsa, errónea o incompleta sobre sus ingresos y/o estrato socioeconómico, se procederá </w:t>
      </w:r>
      <w:r w:rsidRPr="000327A5">
        <w:rPr>
          <w:rFonts w:ascii="Verdana" w:hAnsi="Verdana"/>
          <w:b/>
        </w:rPr>
        <w:t>INMEDIATAMENTE</w:t>
      </w:r>
      <w:r w:rsidRPr="000327A5">
        <w:rPr>
          <w:rFonts w:ascii="Verdana" w:hAnsi="Verdana"/>
        </w:rPr>
        <w:t xml:space="preserve"> al </w:t>
      </w:r>
      <w:r w:rsidRPr="000327A5">
        <w:rPr>
          <w:rFonts w:ascii="Verdana" w:hAnsi="Verdana"/>
          <w:b/>
        </w:rPr>
        <w:t>ARCHIVO DEL CASO</w:t>
      </w:r>
      <w:r w:rsidRPr="000327A5">
        <w:rPr>
          <w:rFonts w:ascii="Verdana" w:hAnsi="Verdana"/>
        </w:rPr>
        <w:t>.</w:t>
      </w:r>
    </w:p>
    <w:p w:rsidR="0009728A" w:rsidRDefault="0009728A" w:rsidP="009149F3">
      <w:pPr>
        <w:jc w:val="both"/>
        <w:rPr>
          <w:rFonts w:ascii="Verdana" w:hAnsi="Verdana"/>
        </w:rPr>
      </w:pPr>
    </w:p>
    <w:p w:rsidR="0009728A" w:rsidRDefault="0009728A" w:rsidP="009149F3">
      <w:pPr>
        <w:jc w:val="both"/>
        <w:rPr>
          <w:rFonts w:ascii="Verdana" w:hAnsi="Verdana"/>
        </w:rPr>
      </w:pPr>
    </w:p>
    <w:p w:rsidR="0009728A" w:rsidRDefault="0009728A" w:rsidP="009149F3">
      <w:pPr>
        <w:jc w:val="both"/>
        <w:rPr>
          <w:rFonts w:ascii="Verdana" w:hAnsi="Verdana"/>
          <w:b/>
          <w:u w:val="single"/>
        </w:rPr>
      </w:pPr>
      <w:r>
        <w:rPr>
          <w:rFonts w:ascii="Verdana" w:hAnsi="Verdana"/>
          <w:b/>
          <w:u w:val="single"/>
        </w:rPr>
        <w:t>ATENCIÓN A USUARIOS:</w:t>
      </w:r>
    </w:p>
    <w:p w:rsidR="0009728A" w:rsidRDefault="0009728A" w:rsidP="009149F3">
      <w:pPr>
        <w:jc w:val="both"/>
        <w:rPr>
          <w:rFonts w:ascii="Verdana" w:hAnsi="Verdana"/>
          <w:b/>
          <w:u w:val="single"/>
        </w:rPr>
      </w:pPr>
    </w:p>
    <w:p w:rsidR="0009728A" w:rsidRPr="00515526" w:rsidRDefault="00515526" w:rsidP="009149F3">
      <w:pPr>
        <w:jc w:val="both"/>
        <w:rPr>
          <w:rFonts w:ascii="Verdana" w:hAnsi="Verdana"/>
        </w:rPr>
      </w:pPr>
      <w:r>
        <w:rPr>
          <w:rFonts w:ascii="Verdana" w:hAnsi="Verdana"/>
        </w:rPr>
        <w:t>Los usuarios deben suministrar la siguiente información:</w:t>
      </w:r>
    </w:p>
    <w:p w:rsidR="00515526" w:rsidRPr="00515526" w:rsidRDefault="00515526" w:rsidP="00515526">
      <w:pPr>
        <w:pStyle w:val="Prrafodelista"/>
        <w:numPr>
          <w:ilvl w:val="0"/>
          <w:numId w:val="3"/>
        </w:numPr>
        <w:jc w:val="both"/>
        <w:rPr>
          <w:rFonts w:ascii="Verdana" w:hAnsi="Verdana"/>
          <w:sz w:val="20"/>
          <w:szCs w:val="20"/>
        </w:rPr>
      </w:pPr>
      <w:r w:rsidRPr="00515526">
        <w:rPr>
          <w:rFonts w:ascii="Verdana" w:hAnsi="Verdana"/>
          <w:sz w:val="20"/>
          <w:szCs w:val="20"/>
        </w:rPr>
        <w:t>Nombre, numero de cedula, teléfono, dirección, correo electrónico (si posee) y demás datos solicitados por el centro.</w:t>
      </w:r>
    </w:p>
    <w:p w:rsidR="00515526" w:rsidRDefault="00515526" w:rsidP="00515526">
      <w:pPr>
        <w:pStyle w:val="Prrafodelista"/>
        <w:numPr>
          <w:ilvl w:val="0"/>
          <w:numId w:val="3"/>
        </w:numPr>
        <w:jc w:val="both"/>
        <w:rPr>
          <w:rFonts w:ascii="Verdana" w:hAnsi="Verdana"/>
          <w:sz w:val="20"/>
          <w:szCs w:val="20"/>
        </w:rPr>
      </w:pPr>
      <w:r w:rsidRPr="00515526">
        <w:rPr>
          <w:rFonts w:ascii="Verdana" w:hAnsi="Verdana"/>
          <w:sz w:val="20"/>
          <w:szCs w:val="20"/>
        </w:rPr>
        <w:t>Nombre, numero de cedula, dirección y teléfono de la persona a quien desea convocar a audiencia de conciliación.</w:t>
      </w:r>
    </w:p>
    <w:p w:rsidR="00386610" w:rsidRDefault="00386610" w:rsidP="00515526">
      <w:pPr>
        <w:pStyle w:val="Prrafodelista"/>
        <w:numPr>
          <w:ilvl w:val="0"/>
          <w:numId w:val="3"/>
        </w:numPr>
        <w:jc w:val="both"/>
        <w:rPr>
          <w:rFonts w:ascii="Verdana" w:hAnsi="Verdana"/>
          <w:sz w:val="20"/>
          <w:szCs w:val="20"/>
        </w:rPr>
      </w:pPr>
      <w:r>
        <w:rPr>
          <w:rFonts w:ascii="Verdana" w:hAnsi="Verdana"/>
          <w:sz w:val="20"/>
          <w:szCs w:val="20"/>
        </w:rPr>
        <w:t>Debe realizar un breve relato de los hechos objeto de la solicitud y las pretensiones que tiene frente a la misma.</w:t>
      </w:r>
    </w:p>
    <w:p w:rsidR="0009728A" w:rsidRPr="00254016" w:rsidRDefault="00386610" w:rsidP="00675854">
      <w:pPr>
        <w:pStyle w:val="Prrafodelista"/>
        <w:numPr>
          <w:ilvl w:val="0"/>
          <w:numId w:val="3"/>
        </w:numPr>
        <w:jc w:val="both"/>
        <w:rPr>
          <w:rFonts w:ascii="Verdana" w:hAnsi="Verdana"/>
          <w:u w:val="single"/>
        </w:rPr>
      </w:pPr>
      <w:r w:rsidRPr="00254016">
        <w:rPr>
          <w:rFonts w:ascii="Verdana" w:hAnsi="Verdana"/>
          <w:sz w:val="20"/>
          <w:szCs w:val="20"/>
        </w:rPr>
        <w:lastRenderedPageBreak/>
        <w:t>Debe anexar los documentos requeridos por el centro</w:t>
      </w:r>
      <w:r w:rsidR="00D36C85" w:rsidRPr="00254016">
        <w:rPr>
          <w:rFonts w:ascii="Verdana" w:hAnsi="Verdana"/>
          <w:sz w:val="20"/>
          <w:szCs w:val="20"/>
        </w:rPr>
        <w:t xml:space="preserve"> y adicionalmente todos los que pretenda hacer valer como pruebas.</w:t>
      </w:r>
    </w:p>
    <w:p w:rsidR="00254016" w:rsidRPr="00254016" w:rsidRDefault="00254016" w:rsidP="00675854">
      <w:pPr>
        <w:pStyle w:val="Prrafodelista"/>
        <w:numPr>
          <w:ilvl w:val="0"/>
          <w:numId w:val="3"/>
        </w:numPr>
        <w:jc w:val="both"/>
        <w:rPr>
          <w:rFonts w:ascii="Verdana" w:hAnsi="Verdana"/>
          <w:u w:val="single"/>
        </w:rPr>
      </w:pPr>
      <w:r w:rsidRPr="00254016">
        <w:rPr>
          <w:rFonts w:ascii="Verdana" w:hAnsi="Verdana"/>
          <w:sz w:val="20"/>
          <w:szCs w:val="20"/>
        </w:rPr>
        <w:t>El usuario debe realizar la notificación de la citación a la conciliación al convocado a través de una empresa de mensajería certificada y deberá anexar el recibido por parte del convocado de la misma.</w:t>
      </w:r>
    </w:p>
    <w:p w:rsidR="0009728A" w:rsidRPr="0009728A" w:rsidRDefault="0009728A" w:rsidP="009149F3">
      <w:pPr>
        <w:jc w:val="both"/>
        <w:rPr>
          <w:rFonts w:ascii="Verdana" w:hAnsi="Verdana"/>
          <w:b/>
          <w:u w:val="single"/>
        </w:rPr>
      </w:pPr>
    </w:p>
    <w:p w:rsidR="009149F3" w:rsidRDefault="009149F3" w:rsidP="009149F3">
      <w:pPr>
        <w:jc w:val="both"/>
        <w:rPr>
          <w:rFonts w:ascii="Verdana" w:hAnsi="Verdana"/>
        </w:rPr>
      </w:pPr>
    </w:p>
    <w:p w:rsidR="009149F3" w:rsidRDefault="009149F3" w:rsidP="009149F3">
      <w:pPr>
        <w:jc w:val="both"/>
        <w:rPr>
          <w:rFonts w:ascii="Verdana" w:hAnsi="Verdana"/>
          <w:b/>
          <w:u w:val="single"/>
        </w:rPr>
      </w:pPr>
      <w:r>
        <w:rPr>
          <w:rFonts w:ascii="Verdana" w:hAnsi="Verdana"/>
          <w:b/>
          <w:u w:val="single"/>
        </w:rPr>
        <w:t xml:space="preserve">ASUNTOS EN LOS QUE TIENE COMPETENCIA EL </w:t>
      </w:r>
      <w:r w:rsidR="002F3AF3">
        <w:rPr>
          <w:rFonts w:ascii="Verdana" w:hAnsi="Verdana"/>
          <w:b/>
          <w:u w:val="single"/>
        </w:rPr>
        <w:t>CENTERO DE CONCILIACION</w:t>
      </w:r>
      <w:r>
        <w:rPr>
          <w:rFonts w:ascii="Verdana" w:hAnsi="Verdana"/>
          <w:b/>
          <w:u w:val="single"/>
        </w:rPr>
        <w:t>:</w:t>
      </w:r>
    </w:p>
    <w:p w:rsidR="009149F3" w:rsidRPr="009149F3" w:rsidRDefault="009149F3" w:rsidP="009149F3">
      <w:pPr>
        <w:jc w:val="both"/>
        <w:rPr>
          <w:rFonts w:ascii="Verdana" w:hAnsi="Verdana"/>
          <w:b/>
          <w:u w:val="single"/>
        </w:rPr>
      </w:pPr>
    </w:p>
    <w:p w:rsidR="009149F3" w:rsidRDefault="009149F3" w:rsidP="009149F3">
      <w:pPr>
        <w:jc w:val="both"/>
        <w:rPr>
          <w:rFonts w:ascii="Verdana" w:hAnsi="Verdana"/>
        </w:rPr>
      </w:pPr>
      <w:r w:rsidRPr="009149F3">
        <w:rPr>
          <w:rFonts w:ascii="Verdana" w:hAnsi="Verdana"/>
        </w:rPr>
        <w:t xml:space="preserve">Según lo establecido por la ley </w:t>
      </w:r>
      <w:r w:rsidR="008A12E2">
        <w:rPr>
          <w:rFonts w:ascii="Verdana" w:hAnsi="Verdana"/>
        </w:rPr>
        <w:t>640</w:t>
      </w:r>
      <w:r w:rsidRPr="009149F3">
        <w:rPr>
          <w:rFonts w:ascii="Verdana" w:hAnsi="Verdana"/>
        </w:rPr>
        <w:t xml:space="preserve"> de 200</w:t>
      </w:r>
      <w:r w:rsidR="008A12E2">
        <w:rPr>
          <w:rFonts w:ascii="Verdana" w:hAnsi="Verdana"/>
        </w:rPr>
        <w:t>1</w:t>
      </w:r>
      <w:r w:rsidRPr="009149F3">
        <w:rPr>
          <w:rFonts w:ascii="Verdana" w:hAnsi="Verdana"/>
        </w:rPr>
        <w:t>, tenemos competencia para intervenir en distintos proceso</w:t>
      </w:r>
      <w:r w:rsidR="008A12E2">
        <w:rPr>
          <w:rFonts w:ascii="Verdana" w:hAnsi="Verdana"/>
        </w:rPr>
        <w:t>s</w:t>
      </w:r>
      <w:r w:rsidRPr="009149F3">
        <w:rPr>
          <w:rFonts w:ascii="Verdana" w:hAnsi="Verdana"/>
        </w:rPr>
        <w:t>:</w:t>
      </w:r>
    </w:p>
    <w:p w:rsidR="00FA4194" w:rsidRDefault="00FA4194" w:rsidP="009149F3">
      <w:pPr>
        <w:jc w:val="both"/>
        <w:rPr>
          <w:rFonts w:ascii="Verdana" w:hAnsi="Verdana"/>
        </w:rPr>
      </w:pPr>
    </w:p>
    <w:p w:rsidR="00FA4194" w:rsidRPr="00FA4194" w:rsidRDefault="00FA4194" w:rsidP="00FA4194">
      <w:pPr>
        <w:rPr>
          <w:rFonts w:ascii="Verdana" w:hAnsi="Verdana"/>
        </w:rPr>
      </w:pPr>
      <w:r>
        <w:rPr>
          <w:rFonts w:ascii="Verdana" w:hAnsi="Verdana"/>
          <w:b/>
        </w:rPr>
        <w:t>E</w:t>
      </w:r>
      <w:r w:rsidRPr="00FA4194">
        <w:rPr>
          <w:rFonts w:ascii="Verdana" w:hAnsi="Verdana"/>
          <w:b/>
        </w:rPr>
        <w:t xml:space="preserve">n materia de derecho de familia: </w:t>
      </w:r>
      <w:r w:rsidRPr="00FA4194">
        <w:rPr>
          <w:rFonts w:ascii="Verdana" w:hAnsi="Verdana"/>
        </w:rPr>
        <w:t>obligaciones alimentarias, régimen de visita a menores de edad, cumplimiento de obligaciones.</w:t>
      </w:r>
    </w:p>
    <w:p w:rsidR="00FA4194" w:rsidRPr="00FA4194" w:rsidRDefault="00FA4194" w:rsidP="00FA4194">
      <w:pPr>
        <w:rPr>
          <w:rFonts w:ascii="Verdana" w:hAnsi="Verdana"/>
          <w:b/>
        </w:rPr>
      </w:pPr>
    </w:p>
    <w:p w:rsidR="00FA4194" w:rsidRPr="00FA4194" w:rsidRDefault="00FA4194" w:rsidP="00FA4194">
      <w:pPr>
        <w:rPr>
          <w:rFonts w:ascii="Verdana" w:hAnsi="Verdana"/>
          <w:b/>
        </w:rPr>
      </w:pPr>
      <w:r>
        <w:rPr>
          <w:rFonts w:ascii="Verdana" w:hAnsi="Verdana"/>
          <w:b/>
        </w:rPr>
        <w:t>E</w:t>
      </w:r>
      <w:r w:rsidRPr="00FA4194">
        <w:rPr>
          <w:rFonts w:ascii="Verdana" w:hAnsi="Verdana"/>
          <w:b/>
        </w:rPr>
        <w:t xml:space="preserve">n materia de derecho civil: </w:t>
      </w:r>
      <w:r w:rsidRPr="00FA4194">
        <w:rPr>
          <w:rFonts w:ascii="Verdana" w:hAnsi="Verdana"/>
        </w:rPr>
        <w:t>responsabilidad civil contractual y extracontractual, bienes, restitución de bien inmueble arrendado, resolución o cumplimiento de contratos</w:t>
      </w:r>
    </w:p>
    <w:p w:rsidR="00FA4194" w:rsidRPr="00FA4194" w:rsidRDefault="00FA4194" w:rsidP="00FA4194">
      <w:pPr>
        <w:rPr>
          <w:rFonts w:ascii="Verdana" w:hAnsi="Verdana"/>
          <w:b/>
        </w:rPr>
      </w:pPr>
      <w:r w:rsidRPr="00FA4194">
        <w:rPr>
          <w:rFonts w:ascii="Verdana" w:hAnsi="Verdana"/>
          <w:b/>
        </w:rPr>
        <w:t xml:space="preserve"> </w:t>
      </w:r>
    </w:p>
    <w:p w:rsidR="00FA4194" w:rsidRPr="00FA4194" w:rsidRDefault="00FA4194" w:rsidP="00FA4194">
      <w:pPr>
        <w:rPr>
          <w:rFonts w:ascii="Verdana" w:hAnsi="Verdana"/>
        </w:rPr>
      </w:pPr>
      <w:r>
        <w:rPr>
          <w:rFonts w:ascii="Verdana" w:hAnsi="Verdana"/>
          <w:b/>
        </w:rPr>
        <w:t>E</w:t>
      </w:r>
      <w:r w:rsidRPr="00FA4194">
        <w:rPr>
          <w:rFonts w:ascii="Verdana" w:hAnsi="Verdana"/>
          <w:b/>
        </w:rPr>
        <w:t xml:space="preserve">n materia de derecho comercial: </w:t>
      </w:r>
      <w:r w:rsidRPr="00FA4194">
        <w:rPr>
          <w:rFonts w:ascii="Verdana" w:hAnsi="Verdana"/>
        </w:rPr>
        <w:t>títulos valores, responsabilidad contractual, derechos del consumidor</w:t>
      </w:r>
    </w:p>
    <w:p w:rsidR="00FA4194" w:rsidRPr="00FA4194" w:rsidRDefault="00FA4194" w:rsidP="00FA4194">
      <w:pPr>
        <w:rPr>
          <w:rFonts w:ascii="Verdana" w:hAnsi="Verdana"/>
        </w:rPr>
      </w:pPr>
    </w:p>
    <w:p w:rsidR="009149F3" w:rsidRPr="009149F3" w:rsidRDefault="009149F3" w:rsidP="009149F3">
      <w:pPr>
        <w:jc w:val="both"/>
        <w:rPr>
          <w:rFonts w:ascii="Verdana" w:hAnsi="Verdana"/>
        </w:rPr>
      </w:pPr>
    </w:p>
    <w:p w:rsidR="009149F3" w:rsidRPr="009149F3" w:rsidRDefault="009149F3" w:rsidP="009149F3">
      <w:pPr>
        <w:jc w:val="both"/>
        <w:rPr>
          <w:rFonts w:ascii="Verdana" w:hAnsi="Verdana"/>
        </w:rPr>
      </w:pPr>
    </w:p>
    <w:p w:rsidR="009149F3" w:rsidRPr="009149F3" w:rsidRDefault="009149F3" w:rsidP="009149F3">
      <w:pPr>
        <w:jc w:val="both"/>
        <w:rPr>
          <w:rFonts w:ascii="Verdana" w:hAnsi="Verdana"/>
        </w:rPr>
      </w:pPr>
      <w:r w:rsidRPr="009149F3">
        <w:rPr>
          <w:rFonts w:ascii="Verdana" w:hAnsi="Verdana"/>
        </w:rPr>
        <w:t>El Consultorio Jurídico</w:t>
      </w:r>
      <w:r w:rsidR="00FA4194">
        <w:rPr>
          <w:rFonts w:ascii="Verdana" w:hAnsi="Verdana"/>
        </w:rPr>
        <w:t xml:space="preserve"> y Centro de Conciliación </w:t>
      </w:r>
      <w:r w:rsidRPr="009149F3">
        <w:rPr>
          <w:rFonts w:ascii="Verdana" w:hAnsi="Verdana"/>
          <w:b/>
        </w:rPr>
        <w:t>NO</w:t>
      </w:r>
      <w:r w:rsidRPr="009149F3">
        <w:rPr>
          <w:rFonts w:ascii="Verdana" w:hAnsi="Verdana"/>
        </w:rPr>
        <w:t xml:space="preserve"> tiene competencia para adelantar acciones contencioso-administrativo ni de responsabilidad disciplinaria de los abogados, por cuanto la Ley no faculta a los estudiantes adscritos al Consultorio Jurídico para adelantar dichos procesos.  </w:t>
      </w:r>
    </w:p>
    <w:p w:rsidR="009149F3" w:rsidRDefault="009149F3"/>
    <w:p w:rsidR="0009728A" w:rsidRDefault="0009728A"/>
    <w:p w:rsidR="0009728A" w:rsidRDefault="0009728A"/>
    <w:p w:rsidR="009149F3" w:rsidRDefault="009149F3"/>
    <w:p w:rsidR="009149F3" w:rsidRPr="009149F3" w:rsidRDefault="009149F3"/>
    <w:sectPr w:rsidR="009149F3" w:rsidRPr="009149F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68" w:rsidRDefault="00725568" w:rsidP="00E71A98">
      <w:r>
        <w:separator/>
      </w:r>
    </w:p>
  </w:endnote>
  <w:endnote w:type="continuationSeparator" w:id="0">
    <w:p w:rsidR="00725568" w:rsidRDefault="00725568" w:rsidP="00E7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CB" w:rsidRDefault="005235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98" w:rsidRDefault="00E71A98" w:rsidP="00E71A98"/>
  <w:sdt>
    <w:sdtPr>
      <w:rPr>
        <w:sz w:val="10"/>
      </w:rPr>
      <w:id w:val="860082579"/>
      <w:docPartObj>
        <w:docPartGallery w:val="Page Numbers (Top of Page)"/>
        <w:docPartUnique/>
      </w:docPartObj>
    </w:sdtPr>
    <w:sdtEndPr/>
    <w:sdtContent>
      <w:p w:rsidR="00E71A98" w:rsidRDefault="00E71A98" w:rsidP="00E71A98">
        <w:pPr>
          <w:pStyle w:val="Piedepgina"/>
          <w:jc w:val="center"/>
          <w:rPr>
            <w:b/>
            <w:i/>
            <w:sz w:val="16"/>
            <w:szCs w:val="16"/>
          </w:rPr>
        </w:pPr>
        <w:r>
          <w:rPr>
            <w:b/>
            <w:i/>
            <w:sz w:val="16"/>
            <w:szCs w:val="16"/>
          </w:rPr>
          <w:t>Dirección Consultorio Jurídico: Calle 19 N° 21-07 Barrio 7 de Agosto, Teléfono: (5) 2823064.</w:t>
        </w:r>
      </w:p>
      <w:p w:rsidR="00E71A98" w:rsidRPr="00E71A98" w:rsidRDefault="00E71A98" w:rsidP="00E71A98">
        <w:pPr>
          <w:pStyle w:val="Piedepgina"/>
          <w:jc w:val="center"/>
          <w:rPr>
            <w:b/>
            <w:i/>
            <w:sz w:val="16"/>
            <w:szCs w:val="16"/>
          </w:rPr>
        </w:pPr>
        <w:r>
          <w:rPr>
            <w:b/>
            <w:i/>
            <w:sz w:val="16"/>
            <w:szCs w:val="16"/>
          </w:rPr>
          <w:t xml:space="preserve"> Dirección Sede Principal: Calle 21 N° 25- 59 Barrio La María, Sincelejo Sucre.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CB" w:rsidRDefault="005235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68" w:rsidRDefault="00725568" w:rsidP="00E71A98">
      <w:r>
        <w:separator/>
      </w:r>
    </w:p>
  </w:footnote>
  <w:footnote w:type="continuationSeparator" w:id="0">
    <w:p w:rsidR="00725568" w:rsidRDefault="00725568" w:rsidP="00E71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CB" w:rsidRDefault="00523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86" w:type="dxa"/>
      <w:tblInd w:w="-5" w:type="dxa"/>
      <w:tblLook w:val="04A0" w:firstRow="1" w:lastRow="0" w:firstColumn="1" w:lastColumn="0" w:noHBand="0" w:noVBand="1"/>
    </w:tblPr>
    <w:tblGrid>
      <w:gridCol w:w="2655"/>
      <w:gridCol w:w="5076"/>
      <w:gridCol w:w="1755"/>
    </w:tblGrid>
    <w:tr w:rsidR="00E71A98" w:rsidTr="00E71A98">
      <w:trPr>
        <w:trHeight w:val="924"/>
      </w:trPr>
      <w:tc>
        <w:tcPr>
          <w:tcW w:w="2655" w:type="dxa"/>
          <w:tcBorders>
            <w:top w:val="single" w:sz="4" w:space="0" w:color="auto"/>
            <w:left w:val="single" w:sz="4" w:space="0" w:color="auto"/>
            <w:bottom w:val="single" w:sz="4" w:space="0" w:color="auto"/>
            <w:right w:val="single" w:sz="4" w:space="0" w:color="auto"/>
          </w:tcBorders>
          <w:hideMark/>
        </w:tcPr>
        <w:p w:rsidR="00E71A98" w:rsidRDefault="00E71A98" w:rsidP="00E71A98">
          <w:pPr>
            <w:pStyle w:val="Encabezado"/>
            <w:rPr>
              <w:sz w:val="32"/>
              <w:szCs w:val="32"/>
            </w:rPr>
          </w:pPr>
          <w:r>
            <w:rPr>
              <w:noProof/>
              <w:lang w:val="es-CO" w:eastAsia="es-CO"/>
            </w:rPr>
            <w:drawing>
              <wp:anchor distT="0" distB="0" distL="114300" distR="114300" simplePos="0" relativeHeight="251658240" behindDoc="1" locked="0" layoutInCell="1" allowOverlap="1">
                <wp:simplePos x="0" y="0"/>
                <wp:positionH relativeFrom="column">
                  <wp:posOffset>80010</wp:posOffset>
                </wp:positionH>
                <wp:positionV relativeFrom="paragraph">
                  <wp:posOffset>68580</wp:posOffset>
                </wp:positionV>
                <wp:extent cx="1332865" cy="541655"/>
                <wp:effectExtent l="0" t="0" r="635" b="0"/>
                <wp:wrapNone/>
                <wp:docPr id="2" name="Imagen 2" descr="Logo-corposu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orposuc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65" cy="54165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76" w:type="dxa"/>
          <w:tcBorders>
            <w:top w:val="single" w:sz="4" w:space="0" w:color="auto"/>
            <w:left w:val="single" w:sz="4" w:space="0" w:color="auto"/>
            <w:bottom w:val="single" w:sz="4" w:space="0" w:color="auto"/>
            <w:right w:val="single" w:sz="4" w:space="0" w:color="auto"/>
          </w:tcBorders>
          <w:hideMark/>
        </w:tcPr>
        <w:p w:rsidR="005235CB" w:rsidRDefault="005235CB" w:rsidP="005235CB">
          <w:pPr>
            <w:pStyle w:val="Encabezado"/>
            <w:jc w:val="center"/>
            <w:rPr>
              <w:b/>
              <w:noProof/>
              <w:color w:val="00B050"/>
            </w:rPr>
          </w:pPr>
          <w:r>
            <w:rPr>
              <w:b/>
              <w:noProof/>
              <w:color w:val="00B050"/>
            </w:rPr>
            <w:t>CENTRO  DE CONCILIACION PUBLICO</w:t>
          </w:r>
        </w:p>
        <w:p w:rsidR="005235CB" w:rsidRDefault="005235CB" w:rsidP="005235CB">
          <w:pPr>
            <w:pStyle w:val="Encabezado"/>
            <w:jc w:val="center"/>
            <w:rPr>
              <w:i/>
              <w:noProof/>
              <w:color w:val="00B050"/>
            </w:rPr>
          </w:pPr>
          <w:r>
            <w:rPr>
              <w:i/>
              <w:noProof/>
              <w:color w:val="00B050"/>
            </w:rPr>
            <w:t>Aprobado Resolucion N°  0174 de 19 de Febrero de 2018</w:t>
          </w:r>
        </w:p>
        <w:p w:rsidR="005235CB" w:rsidRDefault="005235CB" w:rsidP="005235CB">
          <w:pPr>
            <w:pStyle w:val="Encabezado"/>
            <w:jc w:val="center"/>
            <w:rPr>
              <w:i/>
              <w:noProof/>
              <w:color w:val="00B050"/>
            </w:rPr>
          </w:pPr>
          <w:r>
            <w:rPr>
              <w:i/>
              <w:noProof/>
              <w:color w:val="00B050"/>
            </w:rPr>
            <w:t>Ministerio de Justicia y del derecho</w:t>
          </w:r>
        </w:p>
        <w:p w:rsidR="00E71A98" w:rsidRDefault="00E71A98" w:rsidP="00F970E5">
          <w:pPr>
            <w:jc w:val="center"/>
            <w:rPr>
              <w:rFonts w:asciiTheme="minorHAnsi" w:hAnsiTheme="minorHAnsi" w:cstheme="minorBidi"/>
              <w:bCs/>
              <w:sz w:val="18"/>
              <w:szCs w:val="22"/>
              <w:lang w:val="es-MX"/>
            </w:rPr>
          </w:pPr>
        </w:p>
      </w:tc>
      <w:tc>
        <w:tcPr>
          <w:tcW w:w="1755" w:type="dxa"/>
          <w:tcBorders>
            <w:top w:val="single" w:sz="4" w:space="0" w:color="auto"/>
            <w:left w:val="single" w:sz="4" w:space="0" w:color="auto"/>
            <w:bottom w:val="single" w:sz="4" w:space="0" w:color="auto"/>
            <w:right w:val="single" w:sz="4" w:space="0" w:color="auto"/>
          </w:tcBorders>
          <w:hideMark/>
        </w:tcPr>
        <w:p w:rsidR="00E71A98" w:rsidRDefault="00E71A98" w:rsidP="00E71A98">
          <w:pPr>
            <w:pStyle w:val="Encabezado"/>
            <w:jc w:val="center"/>
            <w:rPr>
              <w:sz w:val="32"/>
              <w:szCs w:val="32"/>
            </w:rPr>
          </w:pPr>
          <w:r>
            <w:rPr>
              <w:noProof/>
              <w:lang w:val="es-CO" w:eastAsia="es-CO"/>
            </w:rPr>
            <w:drawing>
              <wp:inline distT="0" distB="0" distL="0" distR="0">
                <wp:extent cx="9048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p>
      </w:tc>
    </w:tr>
  </w:tbl>
  <w:p w:rsidR="00E71A98" w:rsidRDefault="00E71A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CB" w:rsidRDefault="00523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A6F"/>
    <w:multiLevelType w:val="hybridMultilevel"/>
    <w:tmpl w:val="2F645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4F0725"/>
    <w:multiLevelType w:val="hybridMultilevel"/>
    <w:tmpl w:val="1EC4C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3A307F9"/>
    <w:multiLevelType w:val="hybridMultilevel"/>
    <w:tmpl w:val="D5DE63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A2"/>
    <w:rsid w:val="000327A5"/>
    <w:rsid w:val="00051DAD"/>
    <w:rsid w:val="0009728A"/>
    <w:rsid w:val="00254016"/>
    <w:rsid w:val="002F3AF3"/>
    <w:rsid w:val="00385D5B"/>
    <w:rsid w:val="003862AF"/>
    <w:rsid w:val="00386610"/>
    <w:rsid w:val="004B3041"/>
    <w:rsid w:val="00515526"/>
    <w:rsid w:val="005235CB"/>
    <w:rsid w:val="005417A2"/>
    <w:rsid w:val="005556CC"/>
    <w:rsid w:val="00654A0E"/>
    <w:rsid w:val="00725568"/>
    <w:rsid w:val="00773641"/>
    <w:rsid w:val="008714CE"/>
    <w:rsid w:val="008A12E2"/>
    <w:rsid w:val="009149F3"/>
    <w:rsid w:val="00A35561"/>
    <w:rsid w:val="00A715A0"/>
    <w:rsid w:val="00B83BF7"/>
    <w:rsid w:val="00D36C85"/>
    <w:rsid w:val="00DD425D"/>
    <w:rsid w:val="00E13692"/>
    <w:rsid w:val="00E71A98"/>
    <w:rsid w:val="00F970E5"/>
    <w:rsid w:val="00FA41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302564-DAD8-4FF7-980D-3EE2118C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A98"/>
    <w:pPr>
      <w:spacing w:after="0" w:line="240" w:lineRule="auto"/>
    </w:pPr>
    <w:rPr>
      <w:rFonts w:ascii="Times New Roman" w:eastAsia="Times New Roman" w:hAnsi="Times New Roman" w:cs="Times New Roman"/>
      <w:sz w:val="20"/>
      <w:szCs w:val="20"/>
      <w:lang w:val="es-ES_tradnl" w:eastAsia="es-MX"/>
    </w:rPr>
  </w:style>
  <w:style w:type="paragraph" w:styleId="Ttulo2">
    <w:name w:val="heading 2"/>
    <w:basedOn w:val="Normal"/>
    <w:link w:val="Ttulo2Car"/>
    <w:uiPriority w:val="9"/>
    <w:unhideWhenUsed/>
    <w:qFormat/>
    <w:rsid w:val="00FA4194"/>
    <w:pPr>
      <w:keepNext/>
      <w:keepLines/>
      <w:spacing w:before="560" w:after="60" w:line="259" w:lineRule="auto"/>
      <w:contextualSpacing/>
      <w:jc w:val="center"/>
      <w:outlineLvl w:val="1"/>
    </w:pPr>
    <w:rPr>
      <w:rFonts w:asciiTheme="majorHAnsi" w:eastAsiaTheme="majorEastAsia" w:hAnsiTheme="majorHAnsi" w:cstheme="majorBidi"/>
      <w:caps/>
      <w:color w:val="44546A" w:themeColor="text2"/>
      <w:spacing w:val="50"/>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A98"/>
    <w:pPr>
      <w:tabs>
        <w:tab w:val="center" w:pos="4419"/>
        <w:tab w:val="right" w:pos="8838"/>
      </w:tabs>
    </w:pPr>
  </w:style>
  <w:style w:type="character" w:customStyle="1" w:styleId="EncabezadoCar">
    <w:name w:val="Encabezado Car"/>
    <w:basedOn w:val="Fuentedeprrafopredeter"/>
    <w:link w:val="Encabezado"/>
    <w:uiPriority w:val="99"/>
    <w:rsid w:val="00E71A98"/>
  </w:style>
  <w:style w:type="paragraph" w:styleId="Piedepgina">
    <w:name w:val="footer"/>
    <w:basedOn w:val="Normal"/>
    <w:link w:val="PiedepginaCar"/>
    <w:uiPriority w:val="99"/>
    <w:unhideWhenUsed/>
    <w:rsid w:val="00E71A98"/>
    <w:pPr>
      <w:tabs>
        <w:tab w:val="center" w:pos="4419"/>
        <w:tab w:val="right" w:pos="8838"/>
      </w:tabs>
    </w:pPr>
  </w:style>
  <w:style w:type="character" w:customStyle="1" w:styleId="PiedepginaCar">
    <w:name w:val="Pie de página Car"/>
    <w:basedOn w:val="Fuentedeprrafopredeter"/>
    <w:link w:val="Piedepgina"/>
    <w:uiPriority w:val="99"/>
    <w:rsid w:val="00E71A98"/>
  </w:style>
  <w:style w:type="table" w:styleId="Tablaconcuadrcula">
    <w:name w:val="Table Grid"/>
    <w:basedOn w:val="Tablanormal"/>
    <w:uiPriority w:val="39"/>
    <w:rsid w:val="00E71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
    <w:name w:val="texto"/>
    <w:basedOn w:val="Fuentedeprrafopredeter"/>
    <w:rsid w:val="00E71A98"/>
  </w:style>
  <w:style w:type="paragraph" w:styleId="Prrafodelista">
    <w:name w:val="List Paragraph"/>
    <w:basedOn w:val="Normal"/>
    <w:uiPriority w:val="34"/>
    <w:qFormat/>
    <w:rsid w:val="009149F3"/>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uiPriority w:val="9"/>
    <w:rsid w:val="00FA4194"/>
    <w:rPr>
      <w:rFonts w:asciiTheme="majorHAnsi" w:eastAsiaTheme="majorEastAsia" w:hAnsiTheme="majorHAnsi" w:cstheme="majorBidi"/>
      <w:caps/>
      <w:color w:val="44546A" w:themeColor="text2"/>
      <w:spacing w:val="50"/>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2509">
      <w:bodyDiv w:val="1"/>
      <w:marLeft w:val="0"/>
      <w:marRight w:val="0"/>
      <w:marTop w:val="0"/>
      <w:marBottom w:val="0"/>
      <w:divBdr>
        <w:top w:val="none" w:sz="0" w:space="0" w:color="auto"/>
        <w:left w:val="none" w:sz="0" w:space="0" w:color="auto"/>
        <w:bottom w:val="none" w:sz="0" w:space="0" w:color="auto"/>
        <w:right w:val="none" w:sz="0" w:space="0" w:color="auto"/>
      </w:divBdr>
    </w:div>
    <w:div w:id="18401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Corposucre</dc:creator>
  <cp:keywords/>
  <dc:description/>
  <cp:lastModifiedBy>Usuario</cp:lastModifiedBy>
  <cp:revision>17</cp:revision>
  <dcterms:created xsi:type="dcterms:W3CDTF">2018-01-16T21:31:00Z</dcterms:created>
  <dcterms:modified xsi:type="dcterms:W3CDTF">2018-06-25T20:42:00Z</dcterms:modified>
</cp:coreProperties>
</file>